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94" w:rsidRDefault="00244894" w:rsidP="00244894">
      <w:pPr>
        <w:pStyle w:val="titolo"/>
        <w:jc w:val="both"/>
        <w:rPr>
          <w:rStyle w:val="Enfasigrassetto"/>
        </w:rPr>
      </w:pPr>
      <w:r>
        <w:rPr>
          <w:rStyle w:val="Enfasigrassetto"/>
        </w:rPr>
        <w:t>Seduta del 05 giugno 2012</w:t>
      </w:r>
    </w:p>
    <w:p w:rsidR="00244894" w:rsidRDefault="00244894" w:rsidP="00244894">
      <w:pPr>
        <w:pStyle w:val="titolo"/>
        <w:jc w:val="both"/>
      </w:pPr>
      <w:bookmarkStart w:id="0" w:name="_GoBack"/>
      <w:bookmarkEnd w:id="0"/>
      <w:r>
        <w:rPr>
          <w:rStyle w:val="Enfasigrassetto"/>
        </w:rPr>
        <w:t xml:space="preserve">MOZIONI CONCERNENTI INIZIATIVE A TUTELA DEI LAVORATORI ESPOSTI ALL'AMIANTO NELLO STABILIMENTO </w:t>
      </w:r>
      <w:r>
        <w:rPr>
          <w:rStyle w:val="Enfasicorsivo"/>
          <w:b/>
          <w:bCs/>
        </w:rPr>
        <w:t>GOODYEAR</w:t>
      </w:r>
      <w:r>
        <w:rPr>
          <w:rStyle w:val="Enfasigrassetto"/>
        </w:rPr>
        <w:t xml:space="preserve"> DI CISTERNA DI LATINA E DEI FAMILIARI DELLE VITTIME</w:t>
      </w:r>
    </w:p>
    <w:p w:rsidR="00244894" w:rsidRDefault="00244894" w:rsidP="00244894">
      <w:pPr>
        <w:pStyle w:val="NormaleWeb"/>
        <w:jc w:val="both"/>
      </w:pPr>
      <w:r>
        <w:t> </w:t>
      </w:r>
      <w:r>
        <w:t>  La Camera,</w:t>
      </w:r>
    </w:p>
    <w:p w:rsidR="00244894" w:rsidRDefault="00244894" w:rsidP="00244894">
      <w:pPr>
        <w:pStyle w:val="NormaleWeb"/>
        <w:jc w:val="both"/>
      </w:pPr>
      <w:r>
        <w:t>premesso che:</w:t>
      </w:r>
    </w:p>
    <w:p w:rsidR="00244894" w:rsidRDefault="00244894" w:rsidP="00244894">
      <w:pPr>
        <w:pStyle w:val="NormaleWeb"/>
        <w:jc w:val="both"/>
      </w:pPr>
      <w:r>
        <w:t xml:space="preserve">la società multinazionale </w:t>
      </w:r>
      <w:r>
        <w:rPr>
          <w:rStyle w:val="Enfasicorsivo"/>
        </w:rPr>
        <w:t>Goodyear</w:t>
      </w:r>
      <w:r>
        <w:t xml:space="preserve"> ha attuato, durante il periodo della propria presenza in Italia, una politica industriale sostanzialmente impostata su un'attività concentrata in stabilimenti collocati in aree del Paese a basso tasso di sviluppo, anche in modo da usufruire delle agevolazioni fiscali della «Cassa per il Mezzogiorno»; quando le condizioni economiche e imprenditoriali non hanno più consentito alla società di sviluppare in tal modo la propria produzione, la </w:t>
      </w:r>
      <w:r>
        <w:rPr>
          <w:rStyle w:val="Enfasicorsivo"/>
        </w:rPr>
        <w:t>Goodyear</w:t>
      </w:r>
      <w:r>
        <w:t xml:space="preserve"> ha scelto la strada di abbandonare l'Italia (e, in particolare, lo stabilimento di Cisterna di Latina), smantellando repentinamente i macchinari utilizzati negli stabilimenti italiani, coibentati in amianto, che sono stati trasferiti in Paesi in via di sviluppo che possiedono normative più deboli in materia di sicurezza sul lavoro; purtroppo, numerosi lavoratori impiegati dalla società presso i propri stabilimenti, negli anni di permanenza in Italia, hanno accusato gravissime patologie derivanti dall'esposizione agli agenti dell'amianto, che sono state riscontrate in modo oggettivo – e non contestabile – dai competenti organismi sanitari; in questo contesto, nell'estate del 2008 il tribunale di Latina ha condannato a complessivi 21 anni di reclusione nove ex dirigenti della </w:t>
      </w:r>
      <w:r>
        <w:rPr>
          <w:rStyle w:val="Enfasicorsivo"/>
        </w:rPr>
        <w:t>Goodyear</w:t>
      </w:r>
      <w:r>
        <w:t xml:space="preserve"> italiana nel processo per le morti, causate dall'esposizione all'amianto, nello stabilimento di Cisterna di Latina, che produceva pneumatici e ha definitivamente chiuso nel 2000; dopo la sentenza, gli eredi delle vittime restano ancora in attesa dell'erogazione del risarcimento e l'azienda si rifiuta di corrispondere il dovuto, nonostante i reiterati ordini dei giudici di versare immediatamente le somme indicate; secondo l'autorità giudiziaria, l'assoluta carenza dei dispositivi di protezione individuali e collettivi, nonché la violazione delle norme poste a tutela degli operai, hanno determinato la morte di decine di operai, esposti all'amianto, alle ammine aromatiche e ad altre sostanze altamente tossiche; il 6 giugno 2012 è prevista presso il tribunale di Latina una nuova udienza, nell'ambito del processo penale di appello, mentre sta per iniziare presso il medesimo tribunale il dibattimento penale cosiddetto «</w:t>
      </w:r>
      <w:r>
        <w:rPr>
          <w:rStyle w:val="Enfasicorsivo"/>
        </w:rPr>
        <w:t>Goodyear-bis</w:t>
      </w:r>
      <w:r>
        <w:t>» con dodici ex dirigenti della multinazionale in questione imputati di omicidio colposo plurimo e lesioni colpose aggravate nei confronti di altri 20 operai, di cui 19 morti per tumore; in data 15 settembre 2010 è stata approvata all'unanimità, da parte della XI Commissione (lavoro pubblico e privato) della Camera dei deputati, la risoluzione n.</w:t>
      </w:r>
      <w:r>
        <w:t> </w:t>
      </w:r>
      <w:r>
        <w:t xml:space="preserve">8-00089, con la quale, proprio per far fronte a tale grave situazione e ad altre analoghe, il Governo si era impegnato a mettere in campo le iniziative più opportune, nell'interesse primario dei lavoratori drammaticamente coinvolti e delle loro famiglie, anche nell'ambito di un confronto generale con tutti i soggetti istituzionalmente coinvolti, nella prospettiva di portare all'attenzione e monitorare tutte le questioni ancora aperte; allo stato, non risulta che il Governo abbia dato seguito ai richiamati impegni assunti a livello parlamentare, mentre un'iniziativa di mediazione, avviata a livello privato – anche a seguito delle reiterate richieste di versamento dei risarcimenti – con il coinvolgimento della società multinazionale, ha prodotto risultati assolutamente inaccettabili e deludenti; occorre, dunque, intraprendere tutte quelle azioni tese a salvaguardare i diritti legittimamente rivendicati dai lavoratori danneggiati e dai familiari delle vittime e a garantire il rispetto delle norme sulla sicurezza sul lavoro nel territorio, </w:t>
      </w:r>
    </w:p>
    <w:p w:rsidR="00244894" w:rsidRDefault="00244894" w:rsidP="00244894">
      <w:pPr>
        <w:pStyle w:val="center"/>
        <w:jc w:val="both"/>
      </w:pPr>
      <w:r>
        <w:t>impegna il Governo</w:t>
      </w:r>
    </w:p>
    <w:p w:rsidR="00244894" w:rsidRDefault="00244894" w:rsidP="00244894">
      <w:pPr>
        <w:pStyle w:val="NormaleWeb"/>
        <w:jc w:val="both"/>
      </w:pPr>
      <w:r>
        <w:lastRenderedPageBreak/>
        <w:t>ad attivare immediatamente un tavolo di confronto istituzionale con tutti i soggetti coinvolti, intraprendendo qualsiasi iniziativa idonea a salvaguardare i diritti dei lavoratori danneggiati e dei familiari delle vittime, con particolare riferimento al caso di cui in premessa, in ottemperanza agli impegni già assunti nelle competenti sedi parlamentari.</w:t>
      </w:r>
    </w:p>
    <w:p w:rsidR="00244894" w:rsidRDefault="00244894" w:rsidP="00244894">
      <w:pPr>
        <w:pStyle w:val="NormaleWeb"/>
        <w:jc w:val="both"/>
      </w:pPr>
      <w:r>
        <w:t>(1-01034)</w:t>
      </w:r>
      <w:r>
        <w:br/>
        <w:t xml:space="preserve">«Moffa, Antonino </w:t>
      </w:r>
      <w:proofErr w:type="spellStart"/>
      <w:r>
        <w:t>Foti</w:t>
      </w:r>
      <w:proofErr w:type="spellEnd"/>
      <w:r>
        <w:t xml:space="preserve">, Damiano, Poli, Paladini, Pelino, Razzi, Siliquini, </w:t>
      </w:r>
      <w:proofErr w:type="spellStart"/>
      <w:r>
        <w:t>Lehner</w:t>
      </w:r>
      <w:proofErr w:type="spellEnd"/>
      <w:r>
        <w:t xml:space="preserve">, Gianni, D'Anna, </w:t>
      </w:r>
      <w:proofErr w:type="spellStart"/>
      <w:r>
        <w:t>Scilipoti</w:t>
      </w:r>
      <w:proofErr w:type="spellEnd"/>
      <w:r>
        <w:t xml:space="preserve">, </w:t>
      </w:r>
      <w:proofErr w:type="spellStart"/>
      <w:r>
        <w:t>Taddei</w:t>
      </w:r>
      <w:proofErr w:type="spellEnd"/>
      <w:r>
        <w:t xml:space="preserve">, </w:t>
      </w:r>
      <w:proofErr w:type="spellStart"/>
      <w:r>
        <w:t>Binetti</w:t>
      </w:r>
      <w:proofErr w:type="spellEnd"/>
      <w:r>
        <w:t>».</w:t>
      </w:r>
    </w:p>
    <w:p w:rsidR="00244894" w:rsidRDefault="00244894" w:rsidP="00244894">
      <w:pPr>
        <w:pStyle w:val="NormaleWeb"/>
        <w:jc w:val="both"/>
      </w:pPr>
      <w:r>
        <w:rPr>
          <w:rStyle w:val="Enfasicorsivo"/>
        </w:rPr>
        <w:t>(17 maggio 2012)</w:t>
      </w:r>
    </w:p>
    <w:p w:rsidR="00244894" w:rsidRDefault="00244894" w:rsidP="00244894">
      <w:pPr>
        <w:pStyle w:val="NormaleWeb"/>
        <w:jc w:val="both"/>
      </w:pPr>
    </w:p>
    <w:p w:rsidR="00244894" w:rsidRDefault="00244894" w:rsidP="00244894">
      <w:pPr>
        <w:pStyle w:val="NormaleWeb"/>
        <w:jc w:val="both"/>
      </w:pPr>
      <w:r>
        <w:t>La Camera,</w:t>
      </w:r>
    </w:p>
    <w:p w:rsidR="00244894" w:rsidRDefault="00244894" w:rsidP="00244894">
      <w:pPr>
        <w:pStyle w:val="NormaleWeb"/>
        <w:jc w:val="both"/>
      </w:pPr>
      <w:r>
        <w:t>premesso che:</w:t>
      </w:r>
    </w:p>
    <w:p w:rsidR="00244894" w:rsidRDefault="00244894" w:rsidP="00244894">
      <w:pPr>
        <w:pStyle w:val="NormaleWeb"/>
        <w:jc w:val="both"/>
      </w:pPr>
      <w:r>
        <w:t>l'amianto è sostanza particolarmente insidiosa perché può provocare 2 diverse malattie: l'asbestosi, frutto dell'accumulo nell'organismo di fibre del materiale, altamente invalidante, e il mesotelioma pleurico, tumore maligno per la cui insorgenza, anche a distanza di decenni dall'esposizione, è sufficiente l'azione anche di pochissime fibre; è stato, pertanto, riconosciuto che l'esposizione all'amianto è fortemente nociva, in quanto provoca tumori maligni della pleura e del peritoneo; con legge 27 marzo 1992, n.</w:t>
      </w:r>
      <w:r>
        <w:t> </w:t>
      </w:r>
      <w:r>
        <w:t>257, si è disciplinata la cessazione dell'impiego di amianto nelle attività produttive di qualsiasi tipo, con l'obiettivo di sottrarre il lavoratore alla fonte di rischio;</w:t>
      </w:r>
      <w:r>
        <w:br/>
        <w:t>purtroppo, in Italia numerosi sono i lavoratori impiegati presso multinazionali che hanno contratto la malattia o addirittura sono deceduti, perché le medesime aziende, in violazione delle norme vigenti, non hanno preso le dovute precauzioni per evitare l'esposizione all'amianto dei propri lavoratori; gli eredi delle vittime attendono ancora il dovuto risarcimento da parte delle aziende condannate, le quali si rifiutano di pagare nonostante siano state emanate sentenze;</w:t>
      </w:r>
      <w:r>
        <w:br/>
        <w:t>è dovere del Governo attivarsi a tutti i livelli per monitorare le questioni ancora insolute, a tutela dei lavoratori lesi, delle famiglie delle vittime e di tutti i soggetti danneggiati dal mancato rispetto delle norme sulla sicurezza dei lavoratori e dei luoghi di lavoro; in data 15 settembre 2010 la Commissione lavoro pubblico e privato della Camera dei deputati ha approvato all'unanimità la risoluzione n.</w:t>
      </w:r>
      <w:r>
        <w:t> </w:t>
      </w:r>
      <w:r>
        <w:t xml:space="preserve">8-00089, per impegnare il Governo, con particolare riferimento alla vicenda della </w:t>
      </w:r>
      <w:r>
        <w:rPr>
          <w:rStyle w:val="Enfasicorsivo"/>
        </w:rPr>
        <w:t>Goodyear</w:t>
      </w:r>
      <w:r>
        <w:t>, ad aprire un tavolo di confronto con tutti i soggetti istituzionalmente coinvolti, per portare all'attenzione e monitorare tutte le questioni ancora aperte, nonché a valutare l'eventuale esigenza di adottare possibili iniziative volte a garantire i diritti legittimamente rivendicati dai familiari delle vittime,</w:t>
      </w:r>
    </w:p>
    <w:p w:rsidR="00244894" w:rsidRDefault="00244894" w:rsidP="00244894">
      <w:pPr>
        <w:pStyle w:val="center"/>
        <w:jc w:val="both"/>
      </w:pPr>
      <w:r>
        <w:t>impegna il Governo</w:t>
      </w:r>
    </w:p>
    <w:p w:rsidR="00244894" w:rsidRDefault="00244894" w:rsidP="00244894">
      <w:pPr>
        <w:pStyle w:val="NormaleWeb"/>
        <w:jc w:val="both"/>
      </w:pPr>
      <w:r>
        <w:t>a dar seguito nell'immediato agli impegni già assunti in sede parlamentare e a relazionare al Parlamento sui risultati del monitoraggio, individuando quali e quante aziende coinvolte in sentenze risarcitorie non hanno ancora a tutt'oggi provveduto alla corresponsione del dovuto ai familiari delle vittime.</w:t>
      </w:r>
      <w:r>
        <w:br/>
        <w:t>(1-01067)</w:t>
      </w:r>
      <w:r>
        <w:br/>
      </w:r>
    </w:p>
    <w:p w:rsidR="00244894" w:rsidRDefault="00244894" w:rsidP="00244894">
      <w:pPr>
        <w:pStyle w:val="NormaleWeb"/>
        <w:jc w:val="both"/>
      </w:pPr>
      <w:r>
        <w:t>«</w:t>
      </w:r>
      <w:proofErr w:type="spellStart"/>
      <w:r>
        <w:t>Fedriga</w:t>
      </w:r>
      <w:proofErr w:type="spellEnd"/>
      <w:r>
        <w:t xml:space="preserve">, Dozzo, Bonino, </w:t>
      </w:r>
      <w:proofErr w:type="spellStart"/>
      <w:r>
        <w:t>Caparini</w:t>
      </w:r>
      <w:proofErr w:type="spellEnd"/>
      <w:r>
        <w:t xml:space="preserve">, </w:t>
      </w:r>
      <w:proofErr w:type="spellStart"/>
      <w:r>
        <w:t>Munerato</w:t>
      </w:r>
      <w:proofErr w:type="spellEnd"/>
      <w:r>
        <w:t xml:space="preserve">, </w:t>
      </w:r>
      <w:proofErr w:type="spellStart"/>
      <w:r>
        <w:t>Lanzarin</w:t>
      </w:r>
      <w:proofErr w:type="spellEnd"/>
      <w:r>
        <w:t xml:space="preserve">, </w:t>
      </w:r>
      <w:proofErr w:type="spellStart"/>
      <w:r>
        <w:t>Dussin</w:t>
      </w:r>
      <w:proofErr w:type="spellEnd"/>
      <w:r>
        <w:t xml:space="preserve">, Togni, Laura </w:t>
      </w:r>
      <w:proofErr w:type="spellStart"/>
      <w:r>
        <w:t>Molteni</w:t>
      </w:r>
      <w:proofErr w:type="spellEnd"/>
      <w:r>
        <w:t xml:space="preserve">, </w:t>
      </w:r>
      <w:proofErr w:type="spellStart"/>
      <w:r>
        <w:t>Fabi</w:t>
      </w:r>
      <w:proofErr w:type="spellEnd"/>
      <w:r>
        <w:t>, Martini, Rondini».</w:t>
      </w:r>
    </w:p>
    <w:p w:rsidR="00434953" w:rsidRDefault="00434953" w:rsidP="00244894">
      <w:pPr>
        <w:jc w:val="both"/>
      </w:pPr>
    </w:p>
    <w:sectPr w:rsidR="00434953" w:rsidSect="006C4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44894"/>
    <w:rsid w:val="00244894"/>
    <w:rsid w:val="00434953"/>
    <w:rsid w:val="006C4126"/>
    <w:rsid w:val="00E9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4894"/>
    <w:rPr>
      <w:b/>
      <w:bCs/>
    </w:rPr>
  </w:style>
  <w:style w:type="character" w:styleId="Enfasicorsivo">
    <w:name w:val="Emphasis"/>
    <w:basedOn w:val="Carpredefinitoparagrafo"/>
    <w:uiPriority w:val="20"/>
    <w:qFormat/>
    <w:rsid w:val="0024489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">
    <w:name w:val="center"/>
    <w:basedOn w:val="Normale"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4894"/>
    <w:rPr>
      <w:b/>
      <w:bCs/>
    </w:rPr>
  </w:style>
  <w:style w:type="character" w:styleId="Enfasicorsivo">
    <w:name w:val="Emphasis"/>
    <w:basedOn w:val="Carpredefinitoparagrafo"/>
    <w:uiPriority w:val="20"/>
    <w:qFormat/>
    <w:rsid w:val="0024489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">
    <w:name w:val="center"/>
    <w:basedOn w:val="Normale"/>
    <w:rsid w:val="0024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Michela Luison</cp:lastModifiedBy>
  <cp:revision>2</cp:revision>
  <cp:lastPrinted>2012-06-06T17:39:00Z</cp:lastPrinted>
  <dcterms:created xsi:type="dcterms:W3CDTF">2012-06-14T15:11:00Z</dcterms:created>
  <dcterms:modified xsi:type="dcterms:W3CDTF">2012-06-14T15:11:00Z</dcterms:modified>
</cp:coreProperties>
</file>